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22FFA39" w14:textId="77777777" w:rsidR="00B00B90" w:rsidRDefault="00B00B90">
      <w:pPr>
        <w:framePr w:wrap="auto" w:yAlign="inline"/>
        <w:spacing w:beforeLines="50" w:before="120" w:afterLines="50" w:after="120" w:line="300" w:lineRule="auto"/>
        <w:jc w:val="center"/>
        <w:outlineLvl w:val="0"/>
        <w:rPr>
          <w:rFonts w:ascii="宋体" w:eastAsia="宋体" w:hAnsi="宋体" w:cs="宋体"/>
          <w:b/>
          <w:bCs/>
          <w:sz w:val="48"/>
          <w:szCs w:val="48"/>
          <w:lang w:val="zh-TW"/>
        </w:rPr>
      </w:pPr>
    </w:p>
    <w:p w14:paraId="559F26BC" w14:textId="77777777" w:rsidR="00B00B90" w:rsidRDefault="00B00B90">
      <w:pPr>
        <w:framePr w:wrap="auto" w:yAlign="inline"/>
        <w:spacing w:beforeLines="50" w:before="120" w:afterLines="50" w:after="120" w:line="300" w:lineRule="auto"/>
        <w:jc w:val="center"/>
        <w:outlineLvl w:val="0"/>
        <w:rPr>
          <w:rFonts w:ascii="宋体" w:eastAsia="宋体" w:hAnsi="宋体" w:cs="宋体"/>
          <w:b/>
          <w:bCs/>
          <w:sz w:val="48"/>
          <w:szCs w:val="48"/>
          <w:lang w:val="zh-TW"/>
        </w:rPr>
      </w:pPr>
    </w:p>
    <w:p w14:paraId="559DE5D1" w14:textId="77777777" w:rsidR="00B00B90" w:rsidRDefault="00B00B90">
      <w:pPr>
        <w:framePr w:wrap="auto" w:yAlign="inline"/>
        <w:spacing w:beforeLines="50" w:before="120" w:afterLines="50" w:after="120" w:line="300" w:lineRule="auto"/>
        <w:jc w:val="center"/>
        <w:outlineLvl w:val="0"/>
        <w:rPr>
          <w:rFonts w:ascii="宋体" w:eastAsia="宋体" w:hAnsi="宋体" w:cs="宋体"/>
          <w:b/>
          <w:bCs/>
          <w:sz w:val="48"/>
          <w:szCs w:val="48"/>
          <w:lang w:val="zh-TW"/>
        </w:rPr>
      </w:pPr>
    </w:p>
    <w:p w14:paraId="258675DE" w14:textId="77777777" w:rsidR="00B00B90" w:rsidRDefault="00B00B90">
      <w:pPr>
        <w:framePr w:wrap="auto" w:yAlign="inline"/>
        <w:spacing w:beforeLines="50" w:before="120" w:afterLines="50" w:after="120" w:line="300" w:lineRule="auto"/>
        <w:jc w:val="center"/>
        <w:outlineLvl w:val="0"/>
        <w:rPr>
          <w:rFonts w:ascii="宋体" w:eastAsia="宋体" w:hAnsi="宋体" w:cs="宋体"/>
          <w:b/>
          <w:bCs/>
          <w:sz w:val="48"/>
          <w:szCs w:val="48"/>
          <w:lang w:val="zh-TW"/>
        </w:rPr>
      </w:pPr>
    </w:p>
    <w:p w14:paraId="3264918D" w14:textId="77777777" w:rsidR="00B00B90" w:rsidRDefault="00000000">
      <w:pPr>
        <w:framePr w:wrap="auto" w:yAlign="inline"/>
        <w:spacing w:beforeLines="50" w:before="120" w:afterLines="50" w:after="120" w:line="300" w:lineRule="auto"/>
        <w:jc w:val="center"/>
        <w:outlineLvl w:val="0"/>
        <w:rPr>
          <w:rFonts w:ascii="黑体" w:eastAsia="黑体" w:hAnsi="黑体" w:cs="宋体"/>
          <w:sz w:val="48"/>
          <w:szCs w:val="48"/>
          <w:lang w:val="zh-TW"/>
        </w:rPr>
      </w:pPr>
      <w:r>
        <w:rPr>
          <w:rFonts w:ascii="黑体" w:eastAsia="黑体" w:hAnsi="黑体" w:cs="宋体"/>
          <w:sz w:val="48"/>
          <w:szCs w:val="48"/>
          <w:lang w:val="zh-TW"/>
        </w:rPr>
        <w:t>《管理体系一体化融合 实施指南》团体标准编制说明</w:t>
      </w:r>
    </w:p>
    <w:p w14:paraId="5730A823" w14:textId="77777777" w:rsidR="00B00B90" w:rsidRDefault="00000000">
      <w:pPr>
        <w:framePr w:wrap="auto" w:yAlign="inline"/>
        <w:spacing w:beforeLines="50" w:before="120" w:afterLines="50" w:after="120" w:line="300" w:lineRule="auto"/>
        <w:jc w:val="center"/>
        <w:outlineLvl w:val="0"/>
        <w:rPr>
          <w:rFonts w:ascii="黑体" w:eastAsia="黑体" w:hAnsi="黑体" w:cs="宋体"/>
          <w:sz w:val="48"/>
          <w:szCs w:val="48"/>
          <w:lang w:val="zh-TW"/>
        </w:rPr>
      </w:pPr>
      <w:r>
        <w:rPr>
          <w:rFonts w:ascii="黑体" w:eastAsia="黑体" w:hAnsi="黑体" w:cs="宋体"/>
          <w:sz w:val="48"/>
          <w:szCs w:val="48"/>
          <w:lang w:val="zh-TW"/>
        </w:rPr>
        <w:t>（</w:t>
      </w:r>
      <w:r>
        <w:rPr>
          <w:rFonts w:ascii="黑体" w:eastAsia="黑体" w:hAnsi="黑体" w:cs="宋体"/>
          <w:sz w:val="48"/>
          <w:szCs w:val="48"/>
        </w:rPr>
        <w:t>征求意见</w:t>
      </w:r>
      <w:r>
        <w:rPr>
          <w:rFonts w:ascii="黑体" w:eastAsia="黑体" w:hAnsi="黑体" w:cs="宋体"/>
          <w:sz w:val="48"/>
          <w:szCs w:val="48"/>
          <w:lang w:val="zh-TW"/>
        </w:rPr>
        <w:t>稿）</w:t>
      </w:r>
    </w:p>
    <w:p w14:paraId="00AF1F5C" w14:textId="77777777" w:rsidR="00B00B90" w:rsidRDefault="00B00B90">
      <w:pPr>
        <w:framePr w:wrap="auto" w:yAlign="inline"/>
        <w:spacing w:beforeLines="50" w:before="120" w:afterLines="50" w:after="120" w:line="300" w:lineRule="auto"/>
        <w:jc w:val="center"/>
        <w:outlineLvl w:val="0"/>
        <w:rPr>
          <w:rFonts w:ascii="宋体" w:eastAsia="宋体" w:hAnsi="宋体" w:cs="宋体"/>
          <w:b/>
          <w:bCs/>
          <w:sz w:val="48"/>
          <w:szCs w:val="48"/>
          <w:lang w:val="zh-TW"/>
        </w:rPr>
      </w:pPr>
    </w:p>
    <w:p w14:paraId="5952BB53" w14:textId="77777777" w:rsidR="00B00B90" w:rsidRDefault="00B00B90">
      <w:pPr>
        <w:framePr w:wrap="auto" w:yAlign="inline"/>
        <w:spacing w:beforeLines="50" w:before="120" w:afterLines="50" w:after="120" w:line="300" w:lineRule="auto"/>
        <w:jc w:val="center"/>
        <w:outlineLvl w:val="0"/>
        <w:rPr>
          <w:rFonts w:ascii="宋体" w:eastAsia="宋体" w:hAnsi="宋体" w:cs="宋体"/>
          <w:b/>
          <w:bCs/>
          <w:sz w:val="48"/>
          <w:szCs w:val="48"/>
          <w:lang w:val="zh-TW"/>
        </w:rPr>
      </w:pPr>
    </w:p>
    <w:p w14:paraId="55E9541E" w14:textId="77777777" w:rsidR="00B00B90" w:rsidRDefault="00B00B90">
      <w:pPr>
        <w:framePr w:wrap="auto" w:yAlign="inline"/>
        <w:spacing w:beforeLines="50" w:before="120" w:afterLines="50" w:after="120" w:line="300" w:lineRule="auto"/>
        <w:outlineLvl w:val="0"/>
        <w:rPr>
          <w:rFonts w:ascii="宋体" w:eastAsia="宋体" w:hAnsi="宋体" w:cs="宋体"/>
          <w:b/>
          <w:bCs/>
          <w:sz w:val="48"/>
          <w:szCs w:val="48"/>
          <w:lang w:val="zh-TW"/>
        </w:rPr>
      </w:pPr>
    </w:p>
    <w:p w14:paraId="734CD697" w14:textId="77777777" w:rsidR="00B00B90" w:rsidRDefault="00B00B90">
      <w:pPr>
        <w:framePr w:wrap="auto" w:yAlign="inline"/>
        <w:spacing w:beforeLines="50" w:before="120" w:afterLines="50" w:after="120" w:line="300" w:lineRule="auto"/>
        <w:outlineLvl w:val="0"/>
        <w:rPr>
          <w:rFonts w:ascii="宋体" w:eastAsia="宋体" w:hAnsi="宋体" w:cs="宋体"/>
          <w:b/>
          <w:bCs/>
          <w:sz w:val="48"/>
          <w:szCs w:val="48"/>
          <w:lang w:val="zh-TW"/>
        </w:rPr>
      </w:pPr>
    </w:p>
    <w:p w14:paraId="65D15AEF" w14:textId="77777777" w:rsidR="00B00B90" w:rsidRDefault="00B00B90">
      <w:pPr>
        <w:framePr w:wrap="auto" w:yAlign="inline"/>
        <w:spacing w:beforeLines="50" w:before="120" w:afterLines="50" w:after="120" w:line="300" w:lineRule="auto"/>
        <w:jc w:val="center"/>
        <w:outlineLvl w:val="0"/>
        <w:rPr>
          <w:rFonts w:ascii="宋体" w:eastAsia="宋体" w:hAnsi="宋体" w:cs="宋体"/>
          <w:b/>
          <w:bCs/>
          <w:sz w:val="48"/>
          <w:szCs w:val="48"/>
          <w:lang w:val="zh-TW"/>
        </w:rPr>
      </w:pPr>
    </w:p>
    <w:p w14:paraId="2B9A7B3C" w14:textId="77777777" w:rsidR="00B00B90" w:rsidRDefault="00B00B90">
      <w:pPr>
        <w:framePr w:wrap="auto" w:yAlign="inline"/>
        <w:spacing w:beforeLines="50" w:before="120" w:afterLines="50" w:after="120" w:line="300" w:lineRule="auto"/>
        <w:jc w:val="center"/>
        <w:outlineLvl w:val="0"/>
        <w:rPr>
          <w:rFonts w:ascii="宋体" w:eastAsia="宋体" w:hAnsi="宋体" w:cs="宋体"/>
          <w:b/>
          <w:bCs/>
          <w:sz w:val="48"/>
          <w:szCs w:val="48"/>
          <w:lang w:val="zh-TW"/>
        </w:rPr>
      </w:pPr>
    </w:p>
    <w:p w14:paraId="607682AA" w14:textId="77777777" w:rsidR="00B00B90" w:rsidRDefault="00B00B90">
      <w:pPr>
        <w:framePr w:wrap="auto" w:yAlign="inline"/>
        <w:spacing w:beforeLines="50" w:before="120" w:afterLines="50" w:after="120" w:line="300" w:lineRule="auto"/>
        <w:jc w:val="center"/>
        <w:outlineLvl w:val="0"/>
        <w:rPr>
          <w:rFonts w:ascii="宋体" w:eastAsia="宋体" w:hAnsi="宋体" w:cs="宋体"/>
          <w:b/>
          <w:bCs/>
          <w:sz w:val="48"/>
          <w:szCs w:val="48"/>
          <w:lang w:val="zh-TW"/>
        </w:rPr>
      </w:pPr>
    </w:p>
    <w:p w14:paraId="3D7F93BE" w14:textId="77777777" w:rsidR="00B00B90" w:rsidRDefault="00000000">
      <w:pPr>
        <w:framePr w:wrap="auto" w:yAlign="inline"/>
        <w:spacing w:beforeLines="50" w:before="120" w:afterLines="50" w:after="120" w:line="300" w:lineRule="auto"/>
        <w:jc w:val="center"/>
        <w:outlineLvl w:val="0"/>
        <w:rPr>
          <w:rFonts w:ascii="宋体" w:eastAsia="宋体" w:hAnsi="宋体" w:cs="宋体"/>
          <w:b/>
          <w:bCs/>
          <w:sz w:val="28"/>
          <w:szCs w:val="28"/>
          <w:lang w:val="zh-TW"/>
        </w:rPr>
      </w:pPr>
      <w:r>
        <w:rPr>
          <w:rFonts w:ascii="宋体" w:eastAsia="宋体" w:hAnsi="宋体" w:cs="宋体" w:hint="cs"/>
          <w:b/>
          <w:bCs/>
          <w:sz w:val="28"/>
          <w:szCs w:val="28"/>
          <w:lang w:val="zh-TW"/>
        </w:rPr>
        <w:t>中国国际贸易促进委员会商业行业委员会</w:t>
      </w:r>
    </w:p>
    <w:p w14:paraId="6253ADA6" w14:textId="18031ACB" w:rsidR="00B00B90" w:rsidRDefault="00000000">
      <w:pPr>
        <w:framePr w:wrap="auto" w:yAlign="inline"/>
        <w:spacing w:beforeLines="50" w:before="120" w:afterLines="50" w:after="120" w:line="300" w:lineRule="auto"/>
        <w:jc w:val="center"/>
        <w:outlineLvl w:val="0"/>
        <w:rPr>
          <w:rFonts w:ascii="宋体" w:eastAsia="宋体" w:hAnsi="宋体" w:cs="宋体"/>
          <w:sz w:val="28"/>
          <w:szCs w:val="28"/>
          <w:lang w:val="zh-TW" w:eastAsia="zh-TW"/>
        </w:rPr>
      </w:pPr>
      <w:r>
        <w:rPr>
          <w:rFonts w:ascii="宋体" w:eastAsia="宋体" w:hAnsi="宋体" w:cs="宋体"/>
          <w:sz w:val="28"/>
          <w:szCs w:val="28"/>
          <w:lang w:val="zh-TW" w:eastAsia="zh-TW"/>
        </w:rPr>
        <w:t>二〇</w:t>
      </w:r>
      <w:r>
        <w:rPr>
          <w:rFonts w:ascii="宋体" w:eastAsia="宋体" w:hAnsi="宋体" w:cs="宋体"/>
          <w:sz w:val="28"/>
          <w:szCs w:val="28"/>
          <w:lang w:eastAsia="zh-TW"/>
        </w:rPr>
        <w:t>二六</w:t>
      </w:r>
      <w:r>
        <w:rPr>
          <w:rFonts w:ascii="宋体" w:eastAsia="宋体" w:hAnsi="宋体" w:cs="宋体"/>
          <w:sz w:val="28"/>
          <w:szCs w:val="28"/>
          <w:lang w:val="zh-TW" w:eastAsia="zh-TW"/>
        </w:rPr>
        <w:t>年</w:t>
      </w:r>
      <w:r w:rsidR="004710FE">
        <w:rPr>
          <w:rFonts w:ascii="宋体" w:eastAsia="宋体" w:hAnsi="宋体" w:cs="宋体"/>
          <w:sz w:val="28"/>
          <w:szCs w:val="28"/>
          <w:lang w:eastAsia="zh-TW"/>
        </w:rPr>
        <w:t>十</w:t>
      </w:r>
      <w:r>
        <w:rPr>
          <w:rFonts w:ascii="宋体" w:eastAsia="宋体" w:hAnsi="宋体" w:cs="宋体"/>
          <w:sz w:val="28"/>
          <w:szCs w:val="28"/>
          <w:lang w:val="zh-TW" w:eastAsia="zh-TW"/>
        </w:rPr>
        <w:t>月</w:t>
      </w:r>
      <w:r w:rsidR="004710FE">
        <w:rPr>
          <w:rFonts w:ascii="宋体" w:eastAsia="宋体" w:hAnsi="宋体" w:cs="宋体"/>
          <w:sz w:val="28"/>
          <w:szCs w:val="28"/>
          <w:lang w:eastAsia="zh-TW"/>
        </w:rPr>
        <w:t>十</w:t>
      </w:r>
      <w:r w:rsidR="005033AB">
        <w:rPr>
          <w:rFonts w:ascii="宋体" w:eastAsia="宋体" w:hAnsi="宋体" w:cs="宋体"/>
          <w:sz w:val="28"/>
          <w:szCs w:val="28"/>
          <w:lang w:eastAsia="zh-TW"/>
        </w:rPr>
        <w:t>九</w:t>
      </w:r>
      <w:r>
        <w:rPr>
          <w:rFonts w:ascii="宋体" w:eastAsia="宋体" w:hAnsi="宋体" w:cs="宋体"/>
          <w:sz w:val="28"/>
          <w:szCs w:val="28"/>
          <w:lang w:val="zh-TW" w:eastAsia="zh-TW"/>
        </w:rPr>
        <w:t>日</w:t>
      </w:r>
    </w:p>
    <w:p w14:paraId="3F399A0A" w14:textId="77777777" w:rsidR="00B00B90" w:rsidRDefault="00B00B90">
      <w:pPr>
        <w:framePr w:wrap="auto" w:yAlign="inline"/>
        <w:spacing w:line="300" w:lineRule="auto"/>
        <w:jc w:val="center"/>
        <w:outlineLvl w:val="0"/>
        <w:rPr>
          <w:rFonts w:ascii="宋体" w:eastAsia="宋体" w:hAnsi="宋体" w:cs="宋体"/>
          <w:b/>
          <w:bCs/>
          <w:sz w:val="32"/>
          <w:szCs w:val="32"/>
          <w:lang w:val="zh-TW" w:eastAsia="zh-TW"/>
        </w:rPr>
        <w:sectPr w:rsidR="00B00B90">
          <w:headerReference w:type="default" r:id="rId8"/>
          <w:footerReference w:type="default" r:id="rId9"/>
          <w:pgSz w:w="11900" w:h="16840"/>
          <w:pgMar w:top="1440" w:right="1800" w:bottom="1440" w:left="1800" w:header="851" w:footer="992" w:gutter="0"/>
          <w:pgNumType w:start="1"/>
          <w:cols w:space="720"/>
        </w:sectPr>
      </w:pPr>
    </w:p>
    <w:p w14:paraId="1FD73838" w14:textId="77777777" w:rsidR="00B00B90" w:rsidRDefault="00000000">
      <w:pPr>
        <w:framePr w:wrap="auto" w:yAlign="inline"/>
        <w:spacing w:line="300" w:lineRule="auto"/>
        <w:jc w:val="center"/>
        <w:outlineLvl w:val="0"/>
        <w:rPr>
          <w:rFonts w:hint="default"/>
          <w:b/>
          <w:bCs/>
          <w:sz w:val="32"/>
          <w:szCs w:val="32"/>
          <w:lang w:val="zh-TW"/>
        </w:rPr>
      </w:pPr>
      <w:r>
        <w:rPr>
          <w:rFonts w:ascii="宋体" w:eastAsia="宋体" w:hAnsi="宋体" w:cs="宋体" w:hint="cs"/>
          <w:b/>
          <w:bCs/>
          <w:sz w:val="32"/>
          <w:szCs w:val="32"/>
          <w:lang w:val="zh-TW"/>
        </w:rPr>
        <w:lastRenderedPageBreak/>
        <w:t>《</w:t>
      </w:r>
      <w:r>
        <w:rPr>
          <w:rFonts w:ascii="宋体" w:eastAsia="宋体" w:hAnsi="宋体" w:cs="宋体"/>
          <w:b/>
          <w:bCs/>
          <w:sz w:val="32"/>
          <w:szCs w:val="32"/>
          <w:lang w:val="zh-TW"/>
        </w:rPr>
        <w:t>管理体系一体化融合 实施指南</w:t>
      </w:r>
      <w:r>
        <w:rPr>
          <w:rFonts w:ascii="宋体" w:eastAsia="宋体" w:hAnsi="宋体" w:cs="宋体" w:hint="cs"/>
          <w:b/>
          <w:bCs/>
          <w:sz w:val="32"/>
          <w:szCs w:val="32"/>
          <w:lang w:val="zh-TW"/>
        </w:rPr>
        <w:t>》</w:t>
      </w:r>
      <w:r>
        <w:rPr>
          <w:rFonts w:ascii="宋体" w:eastAsia="宋体" w:hAnsi="宋体" w:cs="宋体"/>
          <w:b/>
          <w:bCs/>
          <w:sz w:val="32"/>
          <w:szCs w:val="32"/>
          <w:lang w:val="zh-TW"/>
        </w:rPr>
        <w:t>团体标准编制说明</w:t>
      </w:r>
    </w:p>
    <w:p w14:paraId="1E9473DE" w14:textId="77777777" w:rsidR="00B00B90" w:rsidRDefault="00B00B90">
      <w:pPr>
        <w:framePr w:wrap="auto" w:yAlign="inline"/>
        <w:spacing w:line="360" w:lineRule="auto"/>
        <w:ind w:firstLine="482"/>
        <w:rPr>
          <w:rFonts w:ascii="宋体" w:eastAsia="宋体" w:hAnsi="宋体" w:cs="宋体"/>
          <w:b/>
          <w:bCs/>
          <w:kern w:val="0"/>
          <w:sz w:val="24"/>
          <w:szCs w:val="24"/>
        </w:rPr>
      </w:pPr>
    </w:p>
    <w:p w14:paraId="3976B8DA" w14:textId="3DA5E0C6" w:rsidR="00B00B90" w:rsidRPr="007863B9" w:rsidRDefault="00000000" w:rsidP="007863B9">
      <w:pPr>
        <w:pStyle w:val="1"/>
        <w:framePr w:wrap="auto" w:yAlign="inline"/>
        <w:numPr>
          <w:ilvl w:val="0"/>
          <w:numId w:val="2"/>
        </w:numPr>
        <w:spacing w:line="360" w:lineRule="auto"/>
        <w:rPr>
          <w:rFonts w:ascii="宋体" w:eastAsia="PMingLiU" w:hAnsi="宋体" w:cs="宋体"/>
          <w:b/>
          <w:bCs/>
          <w:color w:val="auto"/>
          <w:kern w:val="0"/>
          <w:sz w:val="24"/>
          <w:szCs w:val="24"/>
          <w:u w:color="0000FF"/>
          <w:lang w:val="zh-TW" w:eastAsia="zh-TW"/>
        </w:rPr>
      </w:pPr>
      <w:r>
        <w:rPr>
          <w:rFonts w:ascii="宋体" w:eastAsia="宋体" w:hAnsi="宋体" w:cs="宋体"/>
          <w:b/>
          <w:bCs/>
          <w:color w:val="auto"/>
          <w:kern w:val="0"/>
          <w:sz w:val="24"/>
          <w:szCs w:val="24"/>
          <w:u w:color="0000FF"/>
          <w:lang w:val="zh-TW" w:eastAsia="zh-TW"/>
        </w:rPr>
        <w:t>标准项目来源</w:t>
      </w:r>
    </w:p>
    <w:p w14:paraId="1A9E65A7" w14:textId="77777777" w:rsidR="00B00B90" w:rsidRDefault="00000000">
      <w:pPr>
        <w:framePr w:wrap="auto" w:yAlign="inline"/>
        <w:spacing w:line="360" w:lineRule="auto"/>
        <w:ind w:firstLine="480"/>
        <w:rPr>
          <w:rFonts w:ascii="宋体" w:eastAsia="宋体" w:hAnsi="宋体" w:cs="宋体"/>
          <w:color w:val="auto"/>
          <w:sz w:val="24"/>
          <w:szCs w:val="24"/>
          <w:lang w:val="zh-TW" w:eastAsia="zh-TW"/>
        </w:rPr>
      </w:pPr>
      <w:r>
        <w:rPr>
          <w:rFonts w:ascii="宋体" w:eastAsia="宋体" w:hAnsi="宋体" w:cs="宋体"/>
          <w:color w:val="auto"/>
          <w:sz w:val="24"/>
          <w:szCs w:val="24"/>
          <w:lang w:val="zh-TW" w:eastAsia="zh-TW"/>
        </w:rPr>
        <w:t>本标准由中国国际贸易促进委员会商业行业委员会提出并归口，按照《中华人民共和国标准化法》及国家关于团体标准管理的有关规定制定，属于满足市场和创新需要的团体标准。标准项目经归口单位组织立项论证后批准立项，依据GB/T 1.1—2020《标准化工作导则 第1部分：标准化文件的结构和起草规则》的要求组织编制，形成本征求意见稿。</w:t>
      </w:r>
    </w:p>
    <w:p w14:paraId="49AE8512" w14:textId="77777777" w:rsidR="00B00B90" w:rsidRDefault="00000000">
      <w:pPr>
        <w:pStyle w:val="1"/>
        <w:framePr w:wrap="auto" w:yAlign="inline"/>
        <w:spacing w:line="360" w:lineRule="auto"/>
        <w:ind w:left="482" w:firstLine="0"/>
        <w:rPr>
          <w:rFonts w:ascii="宋体" w:eastAsia="宋体" w:hAnsi="宋体" w:cs="宋体"/>
          <w:b/>
          <w:bCs/>
          <w:color w:val="auto"/>
          <w:kern w:val="0"/>
          <w:sz w:val="24"/>
          <w:szCs w:val="24"/>
          <w:u w:color="0000FF"/>
          <w:lang w:val="zh-TW"/>
        </w:rPr>
      </w:pPr>
      <w:r>
        <w:rPr>
          <w:rFonts w:ascii="宋体" w:eastAsia="宋体" w:hAnsi="宋体" w:cs="宋体"/>
          <w:b/>
          <w:bCs/>
          <w:color w:val="auto"/>
          <w:kern w:val="0"/>
          <w:sz w:val="24"/>
          <w:szCs w:val="24"/>
          <w:u w:color="0000FF"/>
          <w:lang w:val="zh-TW"/>
        </w:rPr>
        <w:t>二、标准制定的目的和意义</w:t>
      </w:r>
    </w:p>
    <w:p w14:paraId="4733CF5E" w14:textId="77777777" w:rsidR="00B00B90" w:rsidRDefault="00000000">
      <w:pPr>
        <w:framePr w:wrap="auto" w:yAlign="inline"/>
        <w:spacing w:line="360" w:lineRule="auto"/>
        <w:ind w:firstLine="480"/>
        <w:rPr>
          <w:rFonts w:ascii="宋体" w:eastAsia="宋体" w:hAnsi="宋体" w:cs="宋体"/>
          <w:color w:val="auto"/>
          <w:sz w:val="24"/>
          <w:szCs w:val="24"/>
          <w:lang w:val="zh-TW"/>
        </w:rPr>
      </w:pPr>
      <w:r>
        <w:rPr>
          <w:rFonts w:ascii="宋体" w:eastAsia="宋体" w:hAnsi="宋体" w:cs="宋体"/>
          <w:color w:val="auto"/>
          <w:sz w:val="24"/>
          <w:szCs w:val="24"/>
          <w:lang w:val="zh-TW"/>
        </w:rPr>
        <w:t>随着不同管理要素被认知和被强调，涉及质量、环境、安全、信息</w:t>
      </w:r>
      <w:r>
        <w:rPr>
          <w:rFonts w:ascii="宋体" w:eastAsia="宋体" w:hAnsi="宋体" w:cs="宋体"/>
          <w:color w:val="auto"/>
          <w:sz w:val="24"/>
          <w:szCs w:val="24"/>
        </w:rPr>
        <w:t>安全</w:t>
      </w:r>
      <w:r>
        <w:rPr>
          <w:rFonts w:ascii="宋体" w:eastAsia="宋体" w:hAnsi="宋体" w:cs="宋体"/>
          <w:color w:val="auto"/>
          <w:sz w:val="24"/>
          <w:szCs w:val="24"/>
          <w:lang w:val="zh-TW"/>
        </w:rPr>
        <w:t>、</w:t>
      </w:r>
      <w:r>
        <w:rPr>
          <w:rFonts w:ascii="宋体" w:eastAsia="宋体" w:hAnsi="宋体" w:cs="宋体"/>
          <w:color w:val="auto"/>
          <w:sz w:val="24"/>
          <w:szCs w:val="24"/>
        </w:rPr>
        <w:t>能源、食品安全、知识产权合规、</w:t>
      </w:r>
      <w:r>
        <w:rPr>
          <w:rFonts w:ascii="宋体" w:eastAsia="宋体" w:hAnsi="宋体" w:cs="宋体"/>
          <w:color w:val="auto"/>
          <w:sz w:val="24"/>
          <w:szCs w:val="24"/>
          <w:lang w:val="zh-TW"/>
        </w:rPr>
        <w:t>社会责任等方面的管理体系标准越来越多地被组织采用。在组织实际运营过程中，各管理体系标准和相关方要求所关注的管理目标存在差异，组织职能结构与职责不同，要求重复、差异甚至冲突的情况普遍存在，造成组织内多个管理体系各自运行、业务过程被多重指涉和多头管控，不仅导致资源浪费，还削弱了管理</w:t>
      </w:r>
      <w:r>
        <w:rPr>
          <w:rFonts w:ascii="宋体" w:eastAsia="宋体" w:hAnsi="宋体" w:cs="宋体"/>
          <w:color w:val="auto"/>
          <w:sz w:val="24"/>
          <w:szCs w:val="24"/>
        </w:rPr>
        <w:t>效</w:t>
      </w:r>
      <w:r>
        <w:rPr>
          <w:rFonts w:ascii="宋体" w:eastAsia="宋体" w:hAnsi="宋体" w:cs="宋体"/>
          <w:color w:val="auto"/>
          <w:sz w:val="24"/>
          <w:szCs w:val="24"/>
          <w:lang w:val="zh-TW"/>
        </w:rPr>
        <w:t>能。</w:t>
      </w:r>
    </w:p>
    <w:p w14:paraId="29A71C19" w14:textId="77777777" w:rsidR="00B00B90" w:rsidRDefault="00000000">
      <w:pPr>
        <w:framePr w:wrap="auto" w:yAlign="inline"/>
        <w:spacing w:line="360" w:lineRule="auto"/>
        <w:ind w:firstLine="480"/>
        <w:rPr>
          <w:rFonts w:ascii="宋体" w:eastAsia="宋体" w:hAnsi="宋体" w:cs="宋体"/>
          <w:color w:val="auto"/>
          <w:sz w:val="24"/>
          <w:szCs w:val="24"/>
          <w:lang w:val="zh-TW"/>
        </w:rPr>
      </w:pPr>
      <w:r>
        <w:rPr>
          <w:rFonts w:ascii="宋体" w:eastAsia="宋体" w:hAnsi="宋体" w:cs="宋体"/>
          <w:color w:val="auto"/>
          <w:sz w:val="24"/>
          <w:szCs w:val="24"/>
          <w:lang w:val="zh-TW"/>
        </w:rPr>
        <w:t>本标准提出管理体系一体化融合的目标和实施指南，旨在帮助组织在其内部建立一个整体化的、融合各管理体系标准和相关方要求的、完善清晰和简洁高效的管理体系。实施管理体系一体化融合是组织的一项战略决策，能够帮助其提高整体绩效，为推动</w:t>
      </w:r>
      <w:r>
        <w:rPr>
          <w:rFonts w:ascii="宋体" w:eastAsia="宋体" w:hAnsi="宋体" w:cs="宋体"/>
          <w:color w:val="auto"/>
          <w:sz w:val="24"/>
          <w:szCs w:val="24"/>
        </w:rPr>
        <w:t>组织的</w:t>
      </w:r>
      <w:r>
        <w:rPr>
          <w:rFonts w:ascii="宋体" w:eastAsia="宋体" w:hAnsi="宋体" w:cs="宋体"/>
          <w:color w:val="auto"/>
          <w:sz w:val="24"/>
          <w:szCs w:val="24"/>
          <w:lang w:val="zh-TW"/>
        </w:rPr>
        <w:t>可持续发展奠定良好基础。通过实施本标准，组织能够获得一体化融合的实施框架、路径、方法和工具，减少和消除管理资源与实物资源的重复消耗，促进组织战略目标和业务过程满足各管理体系标准和相关方要求，并为组织取得一体化管理体系认证建立公共基准。</w:t>
      </w:r>
    </w:p>
    <w:p w14:paraId="0AEDA17C" w14:textId="77777777" w:rsidR="00B00B90" w:rsidRDefault="00000000">
      <w:pPr>
        <w:pStyle w:val="1"/>
        <w:framePr w:wrap="auto" w:yAlign="inline"/>
        <w:spacing w:line="360" w:lineRule="auto"/>
        <w:ind w:left="482" w:firstLine="0"/>
        <w:rPr>
          <w:rFonts w:ascii="宋体" w:eastAsia="宋体" w:hAnsi="宋体" w:cs="宋体"/>
          <w:b/>
          <w:bCs/>
          <w:color w:val="auto"/>
          <w:kern w:val="0"/>
          <w:sz w:val="24"/>
          <w:szCs w:val="24"/>
          <w:u w:color="0000FF"/>
          <w:lang w:val="zh-TW"/>
        </w:rPr>
      </w:pPr>
      <w:r>
        <w:rPr>
          <w:rFonts w:ascii="宋体" w:eastAsia="宋体" w:hAnsi="宋体" w:cs="宋体"/>
          <w:b/>
          <w:bCs/>
          <w:color w:val="auto"/>
          <w:kern w:val="0"/>
          <w:sz w:val="24"/>
          <w:szCs w:val="24"/>
          <w:u w:color="0000FF"/>
          <w:lang w:val="zh-TW"/>
        </w:rPr>
        <w:t>三、标准起草的过程简述</w:t>
      </w:r>
    </w:p>
    <w:p w14:paraId="5958C093" w14:textId="77777777" w:rsidR="00B00B90" w:rsidRDefault="00000000">
      <w:pPr>
        <w:framePr w:wrap="auto" w:yAlign="inline"/>
        <w:spacing w:line="360" w:lineRule="auto"/>
        <w:ind w:firstLineChars="98" w:firstLine="236"/>
        <w:rPr>
          <w:rFonts w:ascii="宋体" w:eastAsia="宋体" w:hAnsi="宋体" w:cs="宋体"/>
          <w:b/>
          <w:bCs/>
          <w:sz w:val="24"/>
          <w:szCs w:val="24"/>
          <w:lang w:val="zh-TW"/>
        </w:rPr>
      </w:pPr>
      <w:r>
        <w:rPr>
          <w:rFonts w:ascii="宋体" w:eastAsia="宋体" w:hAnsi="宋体"/>
          <w:b/>
          <w:sz w:val="24"/>
        </w:rPr>
        <w:t>（一）预研阶段（2025年6月—2025年8月）</w:t>
      </w:r>
    </w:p>
    <w:p w14:paraId="3CE0BFE3"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归口单位组织国内权威专家对组织实施管理体系的现状和需求开展了现场调研工作，系统梳理了ISO 9000、ISO 9001等国际标准以及我国GB/T 19000系列标准的最新发展动态，分析了组织在质量、环境、职业健康安全、信息安全等多体系并行运行中存在的管理要求重复、冲突和资源浪费等问题，论证了制定管理体系一体化融合实施指南类团体标准的必要性和可行性，为项目立项奠定了基础。</w:t>
      </w:r>
    </w:p>
    <w:p w14:paraId="152E444E" w14:textId="77777777" w:rsidR="00B00B90" w:rsidRDefault="00000000">
      <w:pPr>
        <w:framePr w:wrap="auto" w:yAlign="inline"/>
        <w:spacing w:line="360" w:lineRule="auto"/>
        <w:ind w:firstLineChars="98" w:firstLine="236"/>
        <w:rPr>
          <w:rFonts w:ascii="宋体" w:eastAsia="宋体" w:hAnsi="宋体" w:cs="宋体"/>
          <w:b/>
          <w:bCs/>
          <w:sz w:val="24"/>
          <w:szCs w:val="24"/>
          <w:lang w:val="zh-TW"/>
        </w:rPr>
      </w:pPr>
      <w:r>
        <w:rPr>
          <w:rFonts w:ascii="宋体" w:eastAsia="宋体" w:hAnsi="宋体"/>
          <w:b/>
          <w:sz w:val="24"/>
        </w:rPr>
        <w:lastRenderedPageBreak/>
        <w:t>（二）立项阶段（2025年8月）</w:t>
      </w:r>
    </w:p>
    <w:p w14:paraId="2AFF19D6"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1.立项准备：在预研论证的基础上，提出制定《管理体系一体化融合 实施指南》团体标准的立项申请。</w:t>
      </w:r>
    </w:p>
    <w:p w14:paraId="178EF4BF"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sz w:val="24"/>
        </w:rPr>
        <w:t>2.正式立项：在2025年8月25日关于下达2025年第七批团体标准项目计划的通知（商贸促字〔2025〕217号），经组织立项评审后《管理体系一体化融合 实施指南》团体标准正式立项，明确了标准的适用范围、主要内容框架、编制工作分工和进度安排。</w:t>
      </w:r>
    </w:p>
    <w:p w14:paraId="624FFA3C" w14:textId="77777777" w:rsidR="00B00B90" w:rsidRDefault="00000000">
      <w:pPr>
        <w:framePr w:wrap="auto" w:yAlign="inline"/>
        <w:spacing w:line="360" w:lineRule="auto"/>
        <w:ind w:firstLineChars="98" w:firstLine="236"/>
        <w:rPr>
          <w:rFonts w:ascii="宋体" w:eastAsia="宋体" w:hAnsi="宋体" w:cs="宋体"/>
          <w:color w:val="FF0000"/>
          <w:sz w:val="24"/>
          <w:szCs w:val="24"/>
        </w:rPr>
      </w:pPr>
      <w:r>
        <w:rPr>
          <w:rFonts w:ascii="宋体" w:eastAsia="宋体" w:hAnsi="宋体"/>
          <w:b/>
          <w:sz w:val="24"/>
        </w:rPr>
        <w:t>（三）起草阶段（2025年10月—2026年9月）</w:t>
      </w:r>
    </w:p>
    <w:p w14:paraId="313FA823"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标准起草组根据立项要求，深入研究ISO/IEC导则第1部分ISO补充规定附件SL给出的高层结构以及ISO 9000:2026《质量管理 基础与术语》、ISO 9001:2026《质量管理体系 要求》等最新版标准，按照GB/T 1.1—2020《标准化工作导则 第1部分：标准化文件的结构和起草规则》的编写规则，结合我国组织实施管理体系的实践经验，完成标准草案的编制。起草过程中，起草组多次组织研讨，对标准的术语定义、章节结构、技术内容进行反复修改完善，形成《管理体系一体化融合 实施指南》团体标准（征求意见稿）。</w:t>
      </w:r>
    </w:p>
    <w:p w14:paraId="72222678" w14:textId="77777777" w:rsidR="00B00B90" w:rsidRDefault="00000000">
      <w:pPr>
        <w:framePr w:wrap="auto" w:yAlign="inline"/>
        <w:spacing w:line="360" w:lineRule="auto"/>
        <w:ind w:firstLineChars="98" w:firstLine="236"/>
        <w:rPr>
          <w:rFonts w:ascii="宋体" w:eastAsia="宋体" w:hAnsi="宋体" w:cs="宋体"/>
          <w:b/>
          <w:bCs/>
          <w:sz w:val="24"/>
          <w:szCs w:val="24"/>
          <w:lang w:val="zh-TW"/>
        </w:rPr>
      </w:pPr>
      <w:r>
        <w:rPr>
          <w:rFonts w:ascii="宋体" w:eastAsia="宋体" w:hAnsi="宋体"/>
          <w:b/>
          <w:sz w:val="24"/>
        </w:rPr>
        <w:t>（四）征求意见阶段（2026年10月—2026年11月）</w:t>
      </w:r>
    </w:p>
    <w:p w14:paraId="232ACF0B" w14:textId="77777777" w:rsidR="00B00B90" w:rsidRDefault="00000000">
      <w:pPr>
        <w:framePr w:wrap="auto" w:yAlign="inline"/>
        <w:spacing w:line="360" w:lineRule="auto"/>
        <w:ind w:firstLine="480"/>
        <w:rPr>
          <w:rFonts w:ascii="宋体" w:eastAsia="宋体" w:hAnsi="宋体" w:cs="宋体"/>
          <w:sz w:val="24"/>
          <w:szCs w:val="24"/>
        </w:rPr>
      </w:pPr>
      <w:r>
        <w:rPr>
          <w:rFonts w:ascii="宋体" w:eastAsia="宋体" w:hAnsi="宋体"/>
          <w:sz w:val="24"/>
        </w:rPr>
        <w:t>1.公开征求意见：征求意见稿形成后，归口单位通过全国团体标准信息平台等渠道向社会公众公开征求意见，并面向行业协会、科研机构、认证机构、企业等有关方面定向征求专家意见。</w:t>
      </w:r>
    </w:p>
    <w:p w14:paraId="3C559FCE" w14:textId="77777777" w:rsidR="00B00B90" w:rsidRDefault="00000000">
      <w:pPr>
        <w:framePr w:wrap="auto" w:yAlign="inline"/>
        <w:spacing w:line="360" w:lineRule="auto"/>
        <w:ind w:firstLine="480"/>
        <w:rPr>
          <w:rFonts w:ascii="宋体" w:eastAsia="宋体" w:hAnsi="宋体" w:cs="宋体"/>
          <w:sz w:val="24"/>
          <w:szCs w:val="24"/>
        </w:rPr>
      </w:pPr>
      <w:r>
        <w:rPr>
          <w:rFonts w:ascii="宋体" w:eastAsia="宋体" w:hAnsi="宋体"/>
          <w:sz w:val="24"/>
        </w:rPr>
        <w:t>2.意见整理与修改：起草组对收集到的意见逐条汇总、分析、处理，对合理意见予以采纳并修改完善标准文本，形成送审稿后提交专家审查。</w:t>
      </w:r>
    </w:p>
    <w:p w14:paraId="3BE06E43" w14:textId="77777777" w:rsidR="00B00B90" w:rsidRDefault="00000000">
      <w:pPr>
        <w:framePr w:wrap="auto" w:yAlign="inline"/>
        <w:spacing w:line="360" w:lineRule="auto"/>
        <w:ind w:firstLine="482"/>
        <w:rPr>
          <w:rFonts w:ascii="宋体" w:eastAsia="宋体" w:hAnsi="宋体" w:cs="宋体"/>
          <w:b/>
          <w:bCs/>
          <w:kern w:val="0"/>
          <w:sz w:val="24"/>
          <w:szCs w:val="24"/>
          <w:lang w:val="zh-TW"/>
        </w:rPr>
      </w:pPr>
      <w:r>
        <w:rPr>
          <w:rFonts w:ascii="宋体" w:eastAsia="宋体" w:hAnsi="宋体" w:cs="宋体"/>
          <w:b/>
          <w:bCs/>
          <w:kern w:val="0"/>
          <w:sz w:val="24"/>
          <w:szCs w:val="24"/>
          <w:lang w:val="zh-TW"/>
        </w:rPr>
        <w:t>四、标准的主要内容和依据</w:t>
      </w:r>
    </w:p>
    <w:p w14:paraId="2BF2E4AC"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1、</w:t>
      </w:r>
      <w:r>
        <w:rPr>
          <w:rFonts w:ascii="宋体" w:eastAsia="宋体" w:hAnsi="宋体" w:cs="宋体"/>
          <w:color w:val="auto"/>
          <w:sz w:val="24"/>
          <w:szCs w:val="24"/>
          <w:lang w:val="zh-TW"/>
        </w:rPr>
        <w:t>制定原则</w:t>
      </w:r>
    </w:p>
    <w:p w14:paraId="203B5648"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本标准制定遵循以下原则：</w:t>
      </w:r>
    </w:p>
    <w:p w14:paraId="1F69B9B0"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——协调一致原则。标准结构与ISO/IEC导则附件SL给出的高层结构保持一致，内容与ISO 9000:2026、ISO 9001:2026、ISO14001:2026等最新版国际标准协调衔接，便于组织整合实施。</w:t>
      </w:r>
    </w:p>
    <w:p w14:paraId="36054AE3"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——需求导向原则。立足组织多管理体系并行运行的实际需求，解决管理要求重复、差异和冲突以及资源浪费等问题。</w:t>
      </w:r>
    </w:p>
    <w:p w14:paraId="0416B7EA"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——开放融合原则。以融合质量、环境、安全、信息安全等管理体系为目</w:t>
      </w:r>
      <w:r>
        <w:rPr>
          <w:rFonts w:ascii="宋体" w:eastAsia="宋体" w:hAnsi="宋体" w:cs="宋体"/>
          <w:color w:val="auto"/>
          <w:sz w:val="24"/>
          <w:szCs w:val="24"/>
        </w:rPr>
        <w:lastRenderedPageBreak/>
        <w:t>标，同时为组织融合其他相关管理体系提供开放的实施框架。</w:t>
      </w:r>
    </w:p>
    <w:p w14:paraId="769A507D"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——预防为主原则。倡导基于风险和机遇的思维，将风险和机遇的应对融入过程管理，防止或减少不良结果的发生。</w:t>
      </w:r>
    </w:p>
    <w:p w14:paraId="190ECC5D"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——可操作原则。注重指南的实用性、可操作性，为组织提供清晰完整的实施路径、方法和工具。</w:t>
      </w:r>
    </w:p>
    <w:p w14:paraId="67C2D67D" w14:textId="77777777" w:rsidR="00B00B90" w:rsidRDefault="00000000">
      <w:pPr>
        <w:pStyle w:val="a"/>
        <w:numPr>
          <w:ilvl w:val="0"/>
          <w:numId w:val="0"/>
        </w:numPr>
        <w:tabs>
          <w:tab w:val="left" w:pos="312"/>
        </w:tabs>
        <w:spacing w:before="240" w:after="240"/>
      </w:pPr>
      <w:r>
        <w:rPr>
          <w:rFonts w:ascii="宋体" w:eastAsia="宋体" w:hAnsi="宋体" w:cs="宋体" w:hint="eastAsia"/>
          <w:color w:val="FF0000"/>
          <w:sz w:val="24"/>
          <w:szCs w:val="24"/>
          <w:lang w:val="zh-TW"/>
        </w:rPr>
        <w:t xml:space="preserve">   </w:t>
      </w:r>
      <w:r>
        <w:rPr>
          <w:rFonts w:ascii="宋体" w:eastAsia="宋体" w:hAnsi="宋体" w:cs="宋体" w:hint="eastAsia"/>
          <w:sz w:val="24"/>
          <w:szCs w:val="24"/>
          <w:lang w:val="zh-TW"/>
        </w:rPr>
        <w:t xml:space="preserve"> 2、</w:t>
      </w:r>
      <w:r>
        <w:rPr>
          <w:rFonts w:ascii="宋体" w:eastAsia="宋体" w:hAnsi="宋体" w:cs="宋体"/>
          <w:sz w:val="24"/>
          <w:szCs w:val="24"/>
          <w:lang w:val="zh-TW"/>
        </w:rPr>
        <w:t>主要技术内容的说</w:t>
      </w:r>
      <w:r>
        <w:rPr>
          <w:rFonts w:ascii="宋体" w:eastAsia="宋体" w:hAnsi="宋体" w:cs="宋体" w:hint="eastAsia"/>
          <w:sz w:val="24"/>
          <w:szCs w:val="24"/>
          <w:lang w:val="zh-TW"/>
        </w:rPr>
        <w:t>明</w:t>
      </w:r>
    </w:p>
    <w:p w14:paraId="38AB56EC"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本标准共分10章，并附1个资料性附录，主要技术内容如下：</w:t>
      </w:r>
    </w:p>
    <w:p w14:paraId="20326996"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第1章“范围”：规定了本标准适用于各类组织实施管理体系一体化融合的总体要求，明确标准的使用边界。</w:t>
      </w:r>
    </w:p>
    <w:p w14:paraId="49096EC4"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第2章“规范性引用文件”：列出了ISO 9000:2026《质量管理 基础与术语》、ISO 9001:2026《质量管理体系 要求》、ISO 9004《质量管理-组织的质量-实现持续成功的指南》等规范性引用文件，并给出了可供组织根据融合范围选择性参考的ISO 14001、ISO 45001、ISO 31000等补充指导标准。</w:t>
      </w:r>
    </w:p>
    <w:p w14:paraId="09EB35CA"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第3章“术语和定义”：对客体、质量、管理体系等引用术语作出适用性说明，并对“管理体系一体化融合”、“系统化”、“基于过程的系统方法”等本标准特有术语进行定义，为一体化融合的实施提供统一的概念基础。</w:t>
      </w:r>
    </w:p>
    <w:p w14:paraId="1F7B3F08"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第4章“组织所处的环境”：规定组织应理解自身及其环境、确定相关方及其要求、确定一体化管理体系的范围以及管理体系的过程，为实施一体化融合奠定基础。</w:t>
      </w:r>
    </w:p>
    <w:p w14:paraId="562DD5AB"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第5章“领导作用和工作人员参与”：规定最高管理者的领导作用和承诺、一体化管理方针的制定、组织内角色、职责</w:t>
      </w:r>
      <w:r>
        <w:rPr>
          <w:rFonts w:hAnsi="宋体" w:cs="宋体" w:hint="eastAsia"/>
          <w:kern w:val="2"/>
          <w:sz w:val="24"/>
          <w:szCs w:val="24"/>
          <w:u w:color="000000"/>
        </w:rPr>
        <w:t>和</w:t>
      </w:r>
      <w:r>
        <w:rPr>
          <w:rFonts w:hAnsi="宋体" w:cs="宋体" w:hint="eastAsia"/>
          <w:kern w:val="2"/>
          <w:sz w:val="24"/>
          <w:szCs w:val="24"/>
          <w:u w:color="000000"/>
          <w:lang w:val="zh-TW"/>
        </w:rPr>
        <w:t>权限的分配，以及工作人员的协商和参与要求。</w:t>
      </w:r>
    </w:p>
    <w:p w14:paraId="376AF111"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第6章“策划”：规定应对风险和机遇的措施、一体化管理目标及其实现的策划，以及变更的策划要求。</w:t>
      </w:r>
    </w:p>
    <w:p w14:paraId="1CAEDAE4"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第7章“支持”：规定资源、能力、意识、沟通以及成文信息的创建和更新等支持过程要求，包含对数字化成文信息的管理要求。</w:t>
      </w:r>
    </w:p>
    <w:p w14:paraId="7B101BC4"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第8章“运行”：规定业务运营一体化策划与控制、市场营销、产品设计与开发、供应链管理、生产和服务管理、物流管理、客户服务管控、应急管理等运行过程要求，将各管理体系标准要求纳入业务过程的输入识别与控制。</w:t>
      </w:r>
    </w:p>
    <w:p w14:paraId="34061E39"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lastRenderedPageBreak/>
        <w:t>第9章“绩效评价”：规定监视、测量、分析和评价的机制，包括一体化绩效指标系统、数据收集与分析工具、绩效评价与报告、合规性评价，以及内部审核和管理评审要求。</w:t>
      </w:r>
    </w:p>
    <w:p w14:paraId="69C23976"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第10章“改进”：规定持续改进的系统、不符合的识别处置与纠正措施闭环管理，以及持续改进活动的实施要求。</w:t>
      </w:r>
    </w:p>
    <w:p w14:paraId="5B234C04"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附录A（资料性）：给出基于系统论、控制论和信息论的开放系统定义等补充说明。</w:t>
      </w:r>
    </w:p>
    <w:p w14:paraId="742821B9" w14:textId="77777777" w:rsidR="00B00B90" w:rsidRDefault="00000000">
      <w:pPr>
        <w:pStyle w:val="a9"/>
        <w:spacing w:line="360" w:lineRule="auto"/>
        <w:ind w:firstLine="480"/>
        <w:rPr>
          <w:rFonts w:hAnsi="宋体" w:cs="宋体" w:hint="eastAsia"/>
          <w:kern w:val="2"/>
          <w:sz w:val="24"/>
          <w:szCs w:val="24"/>
          <w:u w:color="000000"/>
          <w:lang w:val="zh-TW"/>
        </w:rPr>
      </w:pPr>
      <w:r>
        <w:rPr>
          <w:rFonts w:hAnsi="宋体" w:cs="宋体" w:hint="eastAsia"/>
          <w:kern w:val="2"/>
          <w:sz w:val="24"/>
          <w:szCs w:val="24"/>
          <w:u w:color="000000"/>
          <w:lang w:val="zh-TW"/>
        </w:rPr>
        <w:t>本标准的编制依据主要包括ISO 9000:2026《质量管理 基础与术语》、ISO 9001:2026《质量管理体系 要求》等国际标准，以及我国有关法律法规对组织管理活动的要求。</w:t>
      </w:r>
    </w:p>
    <w:p w14:paraId="42A2A21B" w14:textId="77777777" w:rsidR="00B00B90" w:rsidRDefault="00000000">
      <w:pPr>
        <w:framePr w:wrap="auto" w:yAlign="inline"/>
        <w:spacing w:line="360" w:lineRule="auto"/>
        <w:ind w:firstLine="482"/>
        <w:rPr>
          <w:rFonts w:ascii="宋体" w:eastAsia="宋体" w:hAnsi="宋体" w:cs="宋体"/>
          <w:b/>
          <w:bCs/>
          <w:kern w:val="0"/>
          <w:sz w:val="24"/>
          <w:szCs w:val="24"/>
          <w:lang w:val="zh-TW"/>
        </w:rPr>
      </w:pPr>
      <w:r>
        <w:rPr>
          <w:rFonts w:ascii="宋体" w:eastAsia="宋体" w:hAnsi="宋体" w:cs="宋体"/>
          <w:b/>
          <w:bCs/>
          <w:kern w:val="0"/>
          <w:sz w:val="24"/>
          <w:szCs w:val="24"/>
          <w:lang w:val="zh-TW"/>
        </w:rPr>
        <w:t>五、标准的水平</w:t>
      </w:r>
    </w:p>
    <w:p w14:paraId="7431AEDC" w14:textId="77777777" w:rsidR="00B00B90" w:rsidRDefault="00000000">
      <w:pPr>
        <w:framePr w:wrap="auto" w:yAlign="inline"/>
        <w:spacing w:line="360" w:lineRule="auto"/>
        <w:ind w:firstLine="480"/>
        <w:rPr>
          <w:rFonts w:ascii="宋体" w:eastAsia="宋体" w:hAnsi="宋体" w:cs="宋体"/>
          <w:sz w:val="24"/>
          <w:szCs w:val="24"/>
          <w:lang w:val="zh-TW"/>
        </w:rPr>
      </w:pPr>
      <w:r>
        <w:rPr>
          <w:rFonts w:ascii="宋体" w:eastAsia="宋体" w:hAnsi="宋体" w:cs="宋体"/>
          <w:sz w:val="24"/>
          <w:szCs w:val="24"/>
          <w:lang w:val="zh-TW"/>
        </w:rPr>
        <w:t>本标准采用ISO/IEC导则第1部分ISO补充规定附件SL给出的管理体系标准高层结构，与ISO 9000:2026、ISO 9001:2026等最新版国际标准保持协调一致，充分吸收了一体化、</w:t>
      </w:r>
      <w:r>
        <w:rPr>
          <w:rFonts w:ascii="宋体" w:eastAsia="宋体" w:hAnsi="宋体" w:cs="宋体"/>
          <w:sz w:val="24"/>
          <w:szCs w:val="24"/>
        </w:rPr>
        <w:t>可持续</w:t>
      </w:r>
      <w:r>
        <w:rPr>
          <w:rFonts w:ascii="宋体" w:eastAsia="宋体" w:hAnsi="宋体" w:cs="宋体"/>
          <w:sz w:val="24"/>
          <w:szCs w:val="24"/>
          <w:lang w:val="zh-TW"/>
        </w:rPr>
        <w:t>和数字化</w:t>
      </w:r>
      <w:r>
        <w:rPr>
          <w:rFonts w:ascii="宋体" w:eastAsia="宋体" w:hAnsi="宋体" w:cs="宋体"/>
          <w:sz w:val="24"/>
          <w:szCs w:val="24"/>
        </w:rPr>
        <w:t>转型</w:t>
      </w:r>
      <w:r>
        <w:rPr>
          <w:rFonts w:ascii="宋体" w:eastAsia="宋体" w:hAnsi="宋体" w:cs="宋体"/>
          <w:sz w:val="24"/>
          <w:szCs w:val="24"/>
          <w:lang w:val="zh-TW"/>
        </w:rPr>
        <w:t>的先进理念，兼顾服务行业的适用性，并创新性地提出了以业务过程为对象、应用基于过程的系统方法开展一体化融合的实施路径。在结构、内容和方法上，本标准均与国际最新标准化成果接轨，整体达到国内同类标准的先进水平。</w:t>
      </w:r>
    </w:p>
    <w:p w14:paraId="310E31F2" w14:textId="77777777" w:rsidR="00B00B90" w:rsidRDefault="00000000">
      <w:pPr>
        <w:framePr w:wrap="auto" w:yAlign="inline"/>
        <w:spacing w:line="360" w:lineRule="auto"/>
        <w:ind w:firstLine="482"/>
        <w:rPr>
          <w:rFonts w:ascii="宋体" w:eastAsia="宋体" w:hAnsi="宋体" w:cs="宋体"/>
          <w:b/>
          <w:bCs/>
          <w:kern w:val="0"/>
          <w:sz w:val="24"/>
          <w:szCs w:val="24"/>
          <w:lang w:val="zh-TW"/>
        </w:rPr>
      </w:pPr>
      <w:r>
        <w:rPr>
          <w:rFonts w:ascii="宋体" w:eastAsia="宋体" w:hAnsi="宋体" w:cs="宋体"/>
          <w:b/>
          <w:bCs/>
          <w:kern w:val="0"/>
          <w:sz w:val="24"/>
          <w:szCs w:val="24"/>
          <w:lang w:val="zh-TW"/>
        </w:rPr>
        <w:t>六、与有关的现行法律、法规和强制性国家标准的关系</w:t>
      </w:r>
    </w:p>
    <w:p w14:paraId="089EECDB" w14:textId="77777777" w:rsidR="00B00B90" w:rsidRDefault="00000000">
      <w:pPr>
        <w:framePr w:wrap="auto" w:yAlign="inline"/>
        <w:spacing w:line="360" w:lineRule="auto"/>
        <w:ind w:firstLine="480"/>
        <w:rPr>
          <w:rFonts w:ascii="宋体" w:eastAsia="宋体" w:hAnsi="宋体" w:cs="宋体"/>
          <w:color w:val="auto"/>
          <w:sz w:val="24"/>
          <w:szCs w:val="24"/>
        </w:rPr>
      </w:pPr>
      <w:r>
        <w:rPr>
          <w:rFonts w:ascii="宋体" w:eastAsia="宋体" w:hAnsi="宋体" w:cs="宋体"/>
          <w:color w:val="auto"/>
          <w:sz w:val="24"/>
          <w:szCs w:val="24"/>
        </w:rPr>
        <w:t>本标准为推荐性团体标准，其内容与《中华人民共和国标准化法》、《中华人民共和国产品质量法》、《中华人民共和国生态环境法典》、《中华人民共和国安全生产法》等现行法律、行政法规以及强制性国家标准的要求不冲突、不矛盾。本标准引用的ISO 9000、ISO 9001等国际标准，与我国等同采用的相关国家标准（如GB/T 19000、GB/T 19001系列）相衔接。组织在实施本标准时，仍应遵守其适用的法律法规和强制性标准的要求。</w:t>
      </w:r>
    </w:p>
    <w:p w14:paraId="53F13C2A" w14:textId="77777777" w:rsidR="00B00B90" w:rsidRDefault="00000000">
      <w:pPr>
        <w:framePr w:wrap="auto" w:yAlign="inline"/>
        <w:spacing w:line="360" w:lineRule="auto"/>
        <w:ind w:firstLine="482"/>
        <w:rPr>
          <w:rFonts w:ascii="宋体" w:eastAsia="宋体" w:hAnsi="宋体" w:cs="宋体"/>
          <w:b/>
          <w:bCs/>
          <w:kern w:val="0"/>
          <w:sz w:val="24"/>
          <w:szCs w:val="24"/>
          <w:lang w:val="zh-TW"/>
        </w:rPr>
      </w:pPr>
      <w:r>
        <w:rPr>
          <w:rFonts w:ascii="宋体" w:eastAsia="宋体" w:hAnsi="宋体" w:cs="宋体"/>
          <w:b/>
          <w:bCs/>
          <w:kern w:val="0"/>
          <w:sz w:val="24"/>
          <w:szCs w:val="24"/>
          <w:lang w:val="zh-TW"/>
        </w:rPr>
        <w:t>七、贯彻标准的要求和措施建议</w:t>
      </w:r>
    </w:p>
    <w:p w14:paraId="689DF058" w14:textId="77777777" w:rsidR="00B00B90" w:rsidRDefault="00000000">
      <w:pPr>
        <w:framePr w:wrap="auto" w:yAlign="inline"/>
        <w:spacing w:line="360" w:lineRule="auto"/>
        <w:ind w:firstLine="480"/>
        <w:rPr>
          <w:rFonts w:ascii="宋体" w:eastAsia="宋体" w:hAnsi="宋体" w:cs="宋体"/>
          <w:sz w:val="24"/>
          <w:szCs w:val="24"/>
          <w:lang w:val="zh-TW"/>
        </w:rPr>
      </w:pPr>
      <w:r>
        <w:rPr>
          <w:rFonts w:ascii="宋体" w:eastAsia="宋体" w:hAnsi="宋体" w:cs="宋体"/>
          <w:sz w:val="24"/>
          <w:szCs w:val="24"/>
          <w:lang w:val="zh-TW"/>
        </w:rPr>
        <w:t>为促进本标准的贯彻实施，提出以下建议：一是加强宣贯培训，由归口单位组织开展标准宣贯和解读活动，帮助组织理解和掌握管理体系一体化融合的实施方法；二是开展试点应用，鼓励有条件的企业先行试点，总结实施经验，形成典型案例并予以推广；三是推动与认证认可相衔接，促进标准在一体化管理体系认证评价活动中得到采信；四是持续跟踪修订，跟踪ISO相关标准最新</w:t>
      </w:r>
      <w:r>
        <w:rPr>
          <w:rFonts w:ascii="宋体" w:eastAsia="宋体" w:hAnsi="宋体" w:cs="宋体"/>
          <w:sz w:val="24"/>
          <w:szCs w:val="24"/>
          <w:lang w:val="zh-TW"/>
        </w:rPr>
        <w:lastRenderedPageBreak/>
        <w:t>动态和标准实施中反映的问题，适时组织复审和修订，保持标准的先进性和适用性。</w:t>
      </w:r>
    </w:p>
    <w:p w14:paraId="0E1A5F0D" w14:textId="77777777" w:rsidR="00B00B90" w:rsidRDefault="00000000">
      <w:pPr>
        <w:framePr w:wrap="auto" w:yAlign="inline"/>
        <w:spacing w:line="360" w:lineRule="auto"/>
        <w:ind w:firstLine="482"/>
        <w:rPr>
          <w:rFonts w:ascii="宋体" w:eastAsia="宋体" w:hAnsi="宋体" w:cs="宋体"/>
          <w:b/>
          <w:bCs/>
          <w:kern w:val="0"/>
          <w:sz w:val="24"/>
          <w:szCs w:val="24"/>
          <w:lang w:val="zh-TW"/>
        </w:rPr>
      </w:pPr>
      <w:r>
        <w:rPr>
          <w:rFonts w:ascii="宋体" w:eastAsia="宋体" w:hAnsi="宋体" w:cs="宋体"/>
          <w:b/>
          <w:bCs/>
          <w:kern w:val="0"/>
          <w:sz w:val="24"/>
          <w:szCs w:val="24"/>
          <w:lang w:val="zh-TW"/>
        </w:rPr>
        <w:t>八、标准实施的预期效果</w:t>
      </w:r>
    </w:p>
    <w:p w14:paraId="24BD2B99" w14:textId="77777777" w:rsidR="00B00B90" w:rsidRDefault="00000000">
      <w:pPr>
        <w:framePr w:wrap="auto" w:yAlign="inline"/>
        <w:spacing w:line="360" w:lineRule="auto"/>
        <w:ind w:firstLine="480"/>
        <w:rPr>
          <w:rFonts w:hint="default"/>
          <w:color w:val="auto"/>
        </w:rPr>
      </w:pPr>
      <w:r>
        <w:rPr>
          <w:rFonts w:ascii="宋体" w:eastAsia="宋体" w:hAnsi="宋体"/>
          <w:sz w:val="24"/>
        </w:rPr>
        <w:t>通过本标准的实施，预期将取得以下效果：</w:t>
      </w:r>
    </w:p>
    <w:p w14:paraId="083E5711" w14:textId="77777777" w:rsidR="00B00B90" w:rsidRDefault="00000000">
      <w:pPr>
        <w:framePr w:wrap="auto" w:yAlign="inline"/>
        <w:spacing w:line="360" w:lineRule="auto"/>
        <w:ind w:firstLine="480"/>
        <w:rPr>
          <w:rFonts w:hint="default"/>
          <w:color w:val="auto"/>
        </w:rPr>
      </w:pPr>
      <w:r>
        <w:rPr>
          <w:rFonts w:ascii="宋体" w:eastAsia="宋体" w:hAnsi="宋体"/>
          <w:sz w:val="24"/>
        </w:rPr>
        <w:t>（一）帮助组织建立整体、融合和可持续的一体化管理体系，减少和消除多管理体系并行运行造成的管理资源与实物资源重复消耗，降低管理成本，提升管理能效；</w:t>
      </w:r>
    </w:p>
    <w:p w14:paraId="5A9EC96B" w14:textId="77777777" w:rsidR="00B00B90" w:rsidRDefault="00000000">
      <w:pPr>
        <w:framePr w:wrap="auto" w:yAlign="inline"/>
        <w:spacing w:line="360" w:lineRule="auto"/>
        <w:ind w:firstLine="480"/>
        <w:rPr>
          <w:rFonts w:hint="default"/>
          <w:color w:val="auto"/>
        </w:rPr>
      </w:pPr>
      <w:r>
        <w:rPr>
          <w:rFonts w:ascii="宋体" w:eastAsia="宋体" w:hAnsi="宋体"/>
          <w:sz w:val="24"/>
        </w:rPr>
        <w:t>（二）促进组织战略目标和业务过程满足各管理体系标准和相关方要求，增强组织持续满足顾客要求的能力，提升顾客满意；</w:t>
      </w:r>
    </w:p>
    <w:p w14:paraId="18A1E816" w14:textId="77777777" w:rsidR="00B00B90" w:rsidRDefault="00000000">
      <w:pPr>
        <w:framePr w:wrap="auto" w:yAlign="inline"/>
        <w:spacing w:line="360" w:lineRule="auto"/>
        <w:ind w:firstLine="480"/>
        <w:rPr>
          <w:rFonts w:hint="default"/>
          <w:color w:val="auto"/>
        </w:rPr>
      </w:pPr>
      <w:r>
        <w:rPr>
          <w:rFonts w:ascii="宋体" w:eastAsia="宋体" w:hAnsi="宋体"/>
          <w:sz w:val="24"/>
        </w:rPr>
        <w:t>（三）为组织取得一体化管理体系认证建立公共基准，提升组织在国内国际市场中的认可度和竞争力；</w:t>
      </w:r>
    </w:p>
    <w:p w14:paraId="16516225" w14:textId="77777777" w:rsidR="00B00B90" w:rsidRDefault="00000000">
      <w:pPr>
        <w:framePr w:wrap="auto" w:yAlign="inline"/>
        <w:spacing w:line="360" w:lineRule="auto"/>
        <w:ind w:firstLine="480"/>
        <w:rPr>
          <w:rFonts w:hint="default"/>
          <w:color w:val="auto"/>
        </w:rPr>
      </w:pPr>
      <w:r>
        <w:rPr>
          <w:rFonts w:ascii="宋体" w:eastAsia="宋体" w:hAnsi="宋体"/>
          <w:sz w:val="24"/>
        </w:rPr>
        <w:t>（四）推动管理体系与信息化、数字化管理融合发展，为组织数字化转型和可持续发展奠定良好基础。</w:t>
      </w:r>
    </w:p>
    <w:sectPr w:rsidR="00B00B90">
      <w:headerReference w:type="default" r:id="rId10"/>
      <w:footerReference w:type="default" r:id="rId11"/>
      <w:pgSz w:w="11900" w:h="16840"/>
      <w:pgMar w:top="1440" w:right="1800" w:bottom="1440" w:left="180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2488F" w14:textId="77777777" w:rsidR="00E741A3" w:rsidRDefault="00E741A3">
      <w:pPr>
        <w:framePr w:wrap="around"/>
        <w:rPr>
          <w:rFonts w:hint="default"/>
        </w:rPr>
      </w:pPr>
      <w:r>
        <w:separator/>
      </w:r>
    </w:p>
  </w:endnote>
  <w:endnote w:type="continuationSeparator" w:id="0">
    <w:p w14:paraId="759569FF" w14:textId="77777777" w:rsidR="00E741A3" w:rsidRDefault="00E741A3">
      <w:pPr>
        <w:framePr w:wrap="around"/>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 Neue">
    <w:altName w:val="Sylfaen"/>
    <w:charset w:val="00"/>
    <w:family w:val="roman"/>
    <w:pitch w:val="default"/>
    <w:sig w:usb0="E50002FF" w:usb1="500079DB" w:usb2="00000010" w:usb3="00000000" w:csb0="00000000"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5182" w14:textId="77777777" w:rsidR="00B00B90" w:rsidRDefault="00B00B90">
    <w:pPr>
      <w:pStyle w:val="a4"/>
      <w:framePr w:wrap="auto" w:yAlign="inline"/>
      <w:tabs>
        <w:tab w:val="clear" w:pos="8306"/>
        <w:tab w:val="right" w:pos="82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CCB5D" w14:textId="77777777" w:rsidR="00B00B90" w:rsidRDefault="00B00B90">
    <w:pPr>
      <w:pStyle w:val="a4"/>
      <w:framePr w:wrap="auto" w:yAlign="inline"/>
      <w:tabs>
        <w:tab w:val="clear" w:pos="8306"/>
        <w:tab w:val="right" w:pos="82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1E765" w14:textId="77777777" w:rsidR="00E741A3" w:rsidRDefault="00E741A3">
      <w:pPr>
        <w:framePr w:wrap="around"/>
        <w:rPr>
          <w:rFonts w:hint="default"/>
        </w:rPr>
      </w:pPr>
      <w:r>
        <w:separator/>
      </w:r>
    </w:p>
  </w:footnote>
  <w:footnote w:type="continuationSeparator" w:id="0">
    <w:p w14:paraId="78B84249" w14:textId="77777777" w:rsidR="00E741A3" w:rsidRDefault="00E741A3">
      <w:pPr>
        <w:framePr w:wrap="around"/>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9971" w14:textId="77777777" w:rsidR="00B00B90" w:rsidRDefault="00000000">
    <w:pPr>
      <w:pStyle w:val="aa"/>
      <w:framePr w:wrap="auto" w:yAlign="inline"/>
      <w:rPr>
        <w:rFonts w:hint="eastAsia"/>
      </w:rPr>
    </w:pPr>
    <w:r>
      <w:rPr>
        <w:noProof/>
      </w:rPr>
      <mc:AlternateContent>
        <mc:Choice Requires="wps">
          <w:drawing>
            <wp:anchor distT="152400" distB="152400" distL="152400" distR="152400" simplePos="0" relativeHeight="251659264" behindDoc="1" locked="0" layoutInCell="1" allowOverlap="1" wp14:anchorId="3EEEB857" wp14:editId="6722B479">
              <wp:simplePos x="0" y="0"/>
              <wp:positionH relativeFrom="page">
                <wp:posOffset>3750945</wp:posOffset>
              </wp:positionH>
              <wp:positionV relativeFrom="page">
                <wp:posOffset>9833610</wp:posOffset>
              </wp:positionV>
              <wp:extent cx="57785" cy="131445"/>
              <wp:effectExtent l="0" t="0" r="0" b="0"/>
              <wp:wrapNone/>
              <wp:docPr id="1" name="officeArt object" descr="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2700" cap="flat">
                        <a:noFill/>
                        <a:miter lim="400000"/>
                      </a:ln>
                      <a:effectLst/>
                    </wps:spPr>
                    <wps:txbx>
                      <w:txbxContent>
                        <w:p w14:paraId="6683C71D" w14:textId="77777777" w:rsidR="00B00B90" w:rsidRDefault="00000000">
                          <w:pPr>
                            <w:pStyle w:val="a4"/>
                          </w:pPr>
                          <w:r>
                            <w:fldChar w:fldCharType="begin"/>
                          </w:r>
                          <w:r>
                            <w:instrText xml:space="preserve"> PAGE </w:instrText>
                          </w:r>
                          <w:r>
                            <w:fldChar w:fldCharType="separate"/>
                          </w:r>
                          <w:r>
                            <w:t>3</w:t>
                          </w:r>
                          <w:r>
                            <w:fldChar w:fldCharType="end"/>
                          </w:r>
                        </w:p>
                      </w:txbxContent>
                    </wps:txbx>
                    <wps:bodyPr wrap="square" lIns="0" tIns="0" rIns="0" bIns="0" numCol="1" anchor="t">
                      <a:noAutofit/>
                    </wps:bodyPr>
                  </wps:wsp>
                </a:graphicData>
              </a:graphic>
            </wp:anchor>
          </w:drawing>
        </mc:Choice>
        <mc:Fallback>
          <w:pict>
            <v:shapetype w14:anchorId="3EEEB857" id="_x0000_t202" coordsize="21600,21600" o:spt="202" path="m,l,21600r21600,l21600,xe">
              <v:stroke joinstyle="miter"/>
              <v:path gradientshapeok="t" o:connecttype="rect"/>
            </v:shapetype>
            <v:shape id="officeArt object" o:spid="_x0000_s1026" type="#_x0000_t202" alt="文本框 1" style="position:absolute;margin-left:295.35pt;margin-top:774.3pt;width:4.55pt;height:10.35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" filled="f" stroked="f" strokeweight="1pt">
              <v:stroke miterlimit="4"/>
              <v:textbox inset="0,0,0,0">
                <w:txbxContent>
                  <w:p w14:paraId="6683C71D" w14:textId="77777777" w:rsidR="00B00B90" w:rsidRDefault="00000000">
                    <w:pPr>
                      <w:pStyle w:val="a4"/>
                    </w:pPr>
                    <w:r>
                      <w:fldChar w:fldCharType="begin"/>
                    </w:r>
                    <w:r>
                      <w:instrText xml:space="preserve"> PAGE </w:instrText>
                    </w:r>
                    <w:r>
                      <w:fldChar w:fldCharType="separate"/>
                    </w:r>
                    <w:r>
                      <w:t>3</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22A4" w14:textId="77777777" w:rsidR="00B00B90" w:rsidRDefault="00000000">
    <w:pPr>
      <w:pStyle w:val="aa"/>
      <w:framePr w:wrap="auto" w:yAlign="inline"/>
      <w:rPr>
        <w:rFonts w:hint="eastAsia"/>
      </w:rPr>
    </w:pPr>
    <w:r>
      <w:rPr>
        <w:noProof/>
      </w:rPr>
      <mc:AlternateContent>
        <mc:Choice Requires="wps">
          <w:drawing>
            <wp:anchor distT="152400" distB="152400" distL="152400" distR="152400" simplePos="0" relativeHeight="251660288" behindDoc="1" locked="0" layoutInCell="1" allowOverlap="1" wp14:anchorId="3972821D" wp14:editId="78F66B8C">
              <wp:simplePos x="0" y="0"/>
              <wp:positionH relativeFrom="page">
                <wp:posOffset>3750945</wp:posOffset>
              </wp:positionH>
              <wp:positionV relativeFrom="page">
                <wp:posOffset>9833610</wp:posOffset>
              </wp:positionV>
              <wp:extent cx="57785" cy="131445"/>
              <wp:effectExtent l="0" t="0" r="0" b="0"/>
              <wp:wrapNone/>
              <wp:docPr id="1073741825" name="officeArt object" descr="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2700" cap="flat">
                        <a:noFill/>
                        <a:miter lim="400000"/>
                      </a:ln>
                      <a:effectLst/>
                    </wps:spPr>
                    <wps:txbx>
                      <w:txbxContent>
                        <w:p w14:paraId="413C3A1D" w14:textId="77777777" w:rsidR="00B00B90" w:rsidRDefault="00000000">
                          <w:pPr>
                            <w:pStyle w:val="a4"/>
                          </w:pPr>
                          <w:r>
                            <w:fldChar w:fldCharType="begin"/>
                          </w:r>
                          <w:r>
                            <w:instrText xml:space="preserve"> PAGE </w:instrText>
                          </w:r>
                          <w:r>
                            <w:fldChar w:fldCharType="separate"/>
                          </w:r>
                          <w:r>
                            <w:t>3</w:t>
                          </w:r>
                          <w:r>
                            <w:fldChar w:fldCharType="end"/>
                          </w:r>
                        </w:p>
                      </w:txbxContent>
                    </wps:txbx>
                    <wps:bodyPr wrap="square" lIns="0" tIns="0" rIns="0" bIns="0" numCol="1" anchor="t">
                      <a:noAutofit/>
                    </wps:bodyPr>
                  </wps:wsp>
                </a:graphicData>
              </a:graphic>
            </wp:anchor>
          </w:drawing>
        </mc:Choice>
        <mc:Fallback>
          <w:pict>
            <v:shapetype w14:anchorId="3972821D" id="_x0000_t202" coordsize="21600,21600" o:spt="202" path="m,l,21600r21600,l21600,xe">
              <v:stroke joinstyle="miter"/>
              <v:path gradientshapeok="t" o:connecttype="rect"/>
            </v:shapetype>
            <v:shape id="_x0000_s1027" type="#_x0000_t202" alt="文本框 1" style="position:absolute;margin-left:295.35pt;margin-top:774.3pt;width:4.55pt;height:10.35pt;z-index:-25165619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" filled="f" stroked="f" strokeweight="1pt">
              <v:stroke miterlimit="4"/>
              <v:textbox inset="0,0,0,0">
                <w:txbxContent>
                  <w:p w14:paraId="413C3A1D" w14:textId="77777777" w:rsidR="00B00B90" w:rsidRDefault="00000000">
                    <w:pPr>
                      <w:pStyle w:val="a4"/>
                    </w:pPr>
                    <w:r>
                      <w:fldChar w:fldCharType="begin"/>
                    </w:r>
                    <w:r>
                      <w:instrText xml:space="preserve"> PAGE </w:instrText>
                    </w:r>
                    <w:r>
                      <w:fldChar w:fldCharType="separate"/>
                    </w:r>
                    <w:r>
                      <w:t>3</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1163"/>
    <w:multiLevelType w:val="multilevel"/>
    <w:tmpl w:val="1FC91163"/>
    <w:lvl w:ilvl="0">
      <w:start w:val="1"/>
      <w:numFmt w:val="decimal"/>
      <w:pStyle w:val="a"/>
      <w:suff w:val="nothing"/>
      <w:lvlText w:val="%1　"/>
      <w:lvlJc w:val="left"/>
      <w:pPr>
        <w:ind w:left="0" w:firstLine="0"/>
      </w:pPr>
      <w:rPr>
        <w:rFonts w:ascii="黑体" w:eastAsia="黑体" w:hAnsi="Times New Roman" w:hint="eastAsia"/>
        <w:b w:val="0"/>
        <w:i w:val="0"/>
        <w:sz w:val="21"/>
        <w:szCs w:val="21"/>
      </w:rPr>
    </w:lvl>
    <w:lvl w:ilvl="1">
      <w:start w:val="1"/>
      <w:numFmt w:val="decimal"/>
      <w:suff w:val="nothing"/>
      <w:lvlText w:val="%1.%2　"/>
      <w:lvlJc w:val="left"/>
      <w:pPr>
        <w:ind w:left="425" w:firstLine="0"/>
      </w:pPr>
      <w:rPr>
        <w:rFonts w:ascii="黑体" w:eastAsia="黑体" w:hAnsi="Times New Roman" w:cs="Times New Roman" w:hint="eastAsia"/>
        <w:b w:val="0"/>
        <w:bCs w:val="0"/>
        <w:i w:val="0"/>
        <w:iCs w:val="0"/>
        <w:caps w:val="0"/>
        <w:strike w:val="0"/>
        <w:dstrike w:val="0"/>
        <w:vanish w:val="0"/>
        <w:color w:val="800000"/>
        <w:spacing w:val="0"/>
        <w:kern w:val="0"/>
        <w:position w:val="0"/>
        <w:sz w:val="21"/>
        <w:szCs w:val="21"/>
        <w:u w:val="none"/>
        <w:vertAlign w:val="baseline"/>
      </w:rPr>
    </w:lvl>
    <w:lvl w:ilvl="2">
      <w:start w:val="1"/>
      <w:numFmt w:val="decimal"/>
      <w:suff w:val="nothing"/>
      <w:lvlText w:val="%1.%2.%3　"/>
      <w:lvlJc w:val="left"/>
      <w:pPr>
        <w:ind w:left="2268"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15:restartNumberingAfterBreak="0">
    <w:nsid w:val="37C542B2"/>
    <w:multiLevelType w:val="multilevel"/>
    <w:tmpl w:val="37C542B2"/>
    <w:lvl w:ilvl="0">
      <w:start w:val="1"/>
      <w:numFmt w:val="japaneseCounting"/>
      <w:lvlText w:val="%1、"/>
      <w:lvlJc w:val="left"/>
      <w:pPr>
        <w:ind w:left="992" w:hanging="510"/>
      </w:pPr>
      <w:rPr>
        <w:rFonts w:eastAsia="宋体"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num w:numId="1" w16cid:durableId="1178157504">
    <w:abstractNumId w:val="0"/>
  </w:num>
  <w:num w:numId="2" w16cid:durableId="2064213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docVars>
    <w:docVar w:name="commondata" w:val="eyJoZGlkIjoiZmFhOTEwOTA4M2RhMmU1NGE4Zjg4ZmY1NTkwZWFmMjUifQ=="/>
  </w:docVars>
  <w:rsids>
    <w:rsidRoot w:val="001C1971"/>
    <w:rsid w:val="0000007A"/>
    <w:rsid w:val="00001B5B"/>
    <w:rsid w:val="00010B53"/>
    <w:rsid w:val="000117FA"/>
    <w:rsid w:val="00015ECA"/>
    <w:rsid w:val="00021F88"/>
    <w:rsid w:val="00023AB0"/>
    <w:rsid w:val="00035B6D"/>
    <w:rsid w:val="00037A2E"/>
    <w:rsid w:val="00050AEC"/>
    <w:rsid w:val="00082FF1"/>
    <w:rsid w:val="00084859"/>
    <w:rsid w:val="000905AB"/>
    <w:rsid w:val="00094129"/>
    <w:rsid w:val="000B3167"/>
    <w:rsid w:val="000C006E"/>
    <w:rsid w:val="000F45D3"/>
    <w:rsid w:val="000F71FA"/>
    <w:rsid w:val="00102875"/>
    <w:rsid w:val="00136DC2"/>
    <w:rsid w:val="001445DA"/>
    <w:rsid w:val="001C1971"/>
    <w:rsid w:val="00204F84"/>
    <w:rsid w:val="00215DD7"/>
    <w:rsid w:val="00237697"/>
    <w:rsid w:val="002512F2"/>
    <w:rsid w:val="00264B72"/>
    <w:rsid w:val="002663D9"/>
    <w:rsid w:val="002665EC"/>
    <w:rsid w:val="0028709D"/>
    <w:rsid w:val="00295751"/>
    <w:rsid w:val="002B4CE6"/>
    <w:rsid w:val="002D4343"/>
    <w:rsid w:val="002F0B8B"/>
    <w:rsid w:val="002F3AA6"/>
    <w:rsid w:val="002F3F3E"/>
    <w:rsid w:val="0030564F"/>
    <w:rsid w:val="0031319C"/>
    <w:rsid w:val="0035380E"/>
    <w:rsid w:val="00377697"/>
    <w:rsid w:val="00391E44"/>
    <w:rsid w:val="00392AF6"/>
    <w:rsid w:val="00395438"/>
    <w:rsid w:val="0039677A"/>
    <w:rsid w:val="003A0FD7"/>
    <w:rsid w:val="003B30F9"/>
    <w:rsid w:val="003C6F12"/>
    <w:rsid w:val="003D652D"/>
    <w:rsid w:val="004005B0"/>
    <w:rsid w:val="004240F0"/>
    <w:rsid w:val="00435909"/>
    <w:rsid w:val="00453F8D"/>
    <w:rsid w:val="004710FE"/>
    <w:rsid w:val="004B46F1"/>
    <w:rsid w:val="004B56C3"/>
    <w:rsid w:val="004D05EE"/>
    <w:rsid w:val="004D285A"/>
    <w:rsid w:val="005033AB"/>
    <w:rsid w:val="00525B9B"/>
    <w:rsid w:val="00546C9F"/>
    <w:rsid w:val="00550AA3"/>
    <w:rsid w:val="00555768"/>
    <w:rsid w:val="00573A79"/>
    <w:rsid w:val="0059365C"/>
    <w:rsid w:val="005A6EF5"/>
    <w:rsid w:val="005B13B2"/>
    <w:rsid w:val="005F7B08"/>
    <w:rsid w:val="00605F70"/>
    <w:rsid w:val="006123BD"/>
    <w:rsid w:val="00647AAD"/>
    <w:rsid w:val="00666AC0"/>
    <w:rsid w:val="00695C8A"/>
    <w:rsid w:val="006A4054"/>
    <w:rsid w:val="006A5904"/>
    <w:rsid w:val="006C3335"/>
    <w:rsid w:val="006D28E6"/>
    <w:rsid w:val="006E4EB5"/>
    <w:rsid w:val="006E7F2E"/>
    <w:rsid w:val="00713B38"/>
    <w:rsid w:val="00716D2A"/>
    <w:rsid w:val="007205D4"/>
    <w:rsid w:val="00720891"/>
    <w:rsid w:val="00753EC9"/>
    <w:rsid w:val="007863B9"/>
    <w:rsid w:val="00791143"/>
    <w:rsid w:val="007A6EC1"/>
    <w:rsid w:val="007C78B9"/>
    <w:rsid w:val="007D7840"/>
    <w:rsid w:val="007F7367"/>
    <w:rsid w:val="00844A75"/>
    <w:rsid w:val="00852083"/>
    <w:rsid w:val="00872310"/>
    <w:rsid w:val="008A1E38"/>
    <w:rsid w:val="008D1A07"/>
    <w:rsid w:val="008E73B2"/>
    <w:rsid w:val="00903D18"/>
    <w:rsid w:val="009078BB"/>
    <w:rsid w:val="0092426D"/>
    <w:rsid w:val="0092709E"/>
    <w:rsid w:val="00951C47"/>
    <w:rsid w:val="00954AFB"/>
    <w:rsid w:val="009618BF"/>
    <w:rsid w:val="0096218D"/>
    <w:rsid w:val="00964B16"/>
    <w:rsid w:val="009936AB"/>
    <w:rsid w:val="009A2906"/>
    <w:rsid w:val="009A514C"/>
    <w:rsid w:val="009B4725"/>
    <w:rsid w:val="009C08DA"/>
    <w:rsid w:val="009C333D"/>
    <w:rsid w:val="009D2E05"/>
    <w:rsid w:val="009F19C0"/>
    <w:rsid w:val="00A14861"/>
    <w:rsid w:val="00A22E73"/>
    <w:rsid w:val="00A329F7"/>
    <w:rsid w:val="00A369F1"/>
    <w:rsid w:val="00A56255"/>
    <w:rsid w:val="00A7221A"/>
    <w:rsid w:val="00A72D65"/>
    <w:rsid w:val="00A76DB0"/>
    <w:rsid w:val="00AE5E92"/>
    <w:rsid w:val="00B00B90"/>
    <w:rsid w:val="00B0520A"/>
    <w:rsid w:val="00B154D0"/>
    <w:rsid w:val="00B33BF1"/>
    <w:rsid w:val="00B3497B"/>
    <w:rsid w:val="00B45AE7"/>
    <w:rsid w:val="00B5017B"/>
    <w:rsid w:val="00C01246"/>
    <w:rsid w:val="00C149D5"/>
    <w:rsid w:val="00C223EE"/>
    <w:rsid w:val="00C50B12"/>
    <w:rsid w:val="00C731C6"/>
    <w:rsid w:val="00C870A4"/>
    <w:rsid w:val="00C923B3"/>
    <w:rsid w:val="00CD3464"/>
    <w:rsid w:val="00CE51C9"/>
    <w:rsid w:val="00D20D5B"/>
    <w:rsid w:val="00D418D7"/>
    <w:rsid w:val="00D42091"/>
    <w:rsid w:val="00D42375"/>
    <w:rsid w:val="00D92B72"/>
    <w:rsid w:val="00D92D8A"/>
    <w:rsid w:val="00D9431E"/>
    <w:rsid w:val="00DA1793"/>
    <w:rsid w:val="00DB3344"/>
    <w:rsid w:val="00DC0655"/>
    <w:rsid w:val="00DD14E9"/>
    <w:rsid w:val="00DD1545"/>
    <w:rsid w:val="00DF5A59"/>
    <w:rsid w:val="00E045F4"/>
    <w:rsid w:val="00E20101"/>
    <w:rsid w:val="00E21072"/>
    <w:rsid w:val="00E223F5"/>
    <w:rsid w:val="00E42EA4"/>
    <w:rsid w:val="00E476F5"/>
    <w:rsid w:val="00E66352"/>
    <w:rsid w:val="00E741A3"/>
    <w:rsid w:val="00E86919"/>
    <w:rsid w:val="00E95A59"/>
    <w:rsid w:val="00EA0E6F"/>
    <w:rsid w:val="00EA45A0"/>
    <w:rsid w:val="00EB7D2E"/>
    <w:rsid w:val="00ED4542"/>
    <w:rsid w:val="00ED6663"/>
    <w:rsid w:val="00EE0D56"/>
    <w:rsid w:val="00EE2BFC"/>
    <w:rsid w:val="00EF578C"/>
    <w:rsid w:val="00F06039"/>
    <w:rsid w:val="00F10349"/>
    <w:rsid w:val="00F379DE"/>
    <w:rsid w:val="00F4411B"/>
    <w:rsid w:val="00F52EE6"/>
    <w:rsid w:val="00F60ACD"/>
    <w:rsid w:val="00F707BF"/>
    <w:rsid w:val="00F770A2"/>
    <w:rsid w:val="00F91175"/>
    <w:rsid w:val="00F92653"/>
    <w:rsid w:val="00FB455B"/>
    <w:rsid w:val="062D0592"/>
    <w:rsid w:val="06907B34"/>
    <w:rsid w:val="0C6B2020"/>
    <w:rsid w:val="0CEF76F2"/>
    <w:rsid w:val="1C7114D7"/>
    <w:rsid w:val="1E8D27EC"/>
    <w:rsid w:val="24AC5E86"/>
    <w:rsid w:val="25215D4A"/>
    <w:rsid w:val="2DD66AA1"/>
    <w:rsid w:val="3D9910E3"/>
    <w:rsid w:val="48580610"/>
    <w:rsid w:val="488A4EC3"/>
    <w:rsid w:val="4C5F21E2"/>
    <w:rsid w:val="536C2A87"/>
    <w:rsid w:val="5452177E"/>
    <w:rsid w:val="556E3DBC"/>
    <w:rsid w:val="6BA43AA1"/>
    <w:rsid w:val="71B269EC"/>
    <w:rsid w:val="791974F6"/>
    <w:rsid w:val="7DDB6D31"/>
    <w:rsid w:val="93C98E90"/>
    <w:rsid w:val="FFBB07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82352"/>
  <w15:docId w15:val="{A39ABF73-D35E-43D8-9F12-0D7B67C0D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framePr w:wrap="around" w:hAnchor="text" w:y="1"/>
      <w:widowControl w:val="0"/>
      <w:jc w:val="both"/>
    </w:pPr>
    <w:rPr>
      <w:rFonts w:ascii="Arial Unicode MS" w:eastAsia="Times New Roman" w:hAnsi="Arial Unicode MS" w:cs="Arial Unicode MS" w:hint="eastAsia"/>
      <w:color w:val="000000"/>
      <w:kern w:val="2"/>
      <w:sz w:val="21"/>
      <w:szCs w:val="21"/>
      <w:u w:color="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qFormat/>
    <w:pPr>
      <w:framePr w:wrap="around" w:hAnchor="text" w:y="1"/>
      <w:widowControl w:val="0"/>
      <w:tabs>
        <w:tab w:val="center" w:pos="4153"/>
        <w:tab w:val="right" w:pos="8306"/>
      </w:tabs>
    </w:pPr>
    <w:rPr>
      <w:rFonts w:ascii="Times New Roman" w:eastAsia="Arial Unicode MS" w:hAnsi="Times New Roman" w:cs="Arial Unicode MS"/>
      <w:color w:val="000000"/>
      <w:kern w:val="2"/>
      <w:sz w:val="18"/>
      <w:szCs w:val="18"/>
      <w:u w:color="000000"/>
    </w:rPr>
  </w:style>
  <w:style w:type="paragraph" w:styleId="a5">
    <w:name w:val="header"/>
    <w:basedOn w:val="a0"/>
    <w:link w:val="a6"/>
    <w:qFormat/>
    <w:pPr>
      <w:framePr w:wrap="around"/>
      <w:pBdr>
        <w:bottom w:val="single" w:sz="6" w:space="1" w:color="auto"/>
      </w:pBdr>
      <w:tabs>
        <w:tab w:val="center" w:pos="4153"/>
        <w:tab w:val="right" w:pos="8306"/>
      </w:tabs>
      <w:snapToGrid w:val="0"/>
      <w:jc w:val="center"/>
    </w:pPr>
    <w:rPr>
      <w:sz w:val="18"/>
      <w:szCs w:val="18"/>
    </w:rPr>
  </w:style>
  <w:style w:type="paragraph" w:styleId="a7">
    <w:name w:val="Normal (Web)"/>
    <w:basedOn w:val="a0"/>
    <w:qFormat/>
    <w:pPr>
      <w:framePr w:wrap="around"/>
    </w:pPr>
    <w:rPr>
      <w:sz w:val="24"/>
    </w:rPr>
  </w:style>
  <w:style w:type="character" w:styleId="a8">
    <w:name w:val="Hyperlink"/>
    <w:qFormat/>
    <w:rPr>
      <w:u w:val="single"/>
    </w:rPr>
  </w:style>
  <w:style w:type="paragraph" w:customStyle="1" w:styleId="a">
    <w:name w:val="章标题"/>
    <w:next w:val="a9"/>
    <w:qFormat/>
    <w:pPr>
      <w:numPr>
        <w:numId w:val="1"/>
      </w:numPr>
      <w:spacing w:beforeLines="100" w:before="312" w:afterLines="100" w:after="312"/>
      <w:jc w:val="both"/>
      <w:outlineLvl w:val="1"/>
    </w:pPr>
    <w:rPr>
      <w:rFonts w:ascii="黑体" w:eastAsia="黑体" w:hAnsi="Times New Roman"/>
      <w:sz w:val="21"/>
    </w:rPr>
  </w:style>
  <w:style w:type="paragraph" w:customStyle="1" w:styleId="a9">
    <w:name w:val="段"/>
    <w:qFormat/>
    <w:pPr>
      <w:tabs>
        <w:tab w:val="center" w:pos="4201"/>
        <w:tab w:val="right" w:leader="dot" w:pos="9298"/>
      </w:tabs>
      <w:autoSpaceDE w:val="0"/>
      <w:autoSpaceDN w:val="0"/>
      <w:ind w:firstLineChars="200" w:firstLine="420"/>
      <w:jc w:val="both"/>
    </w:pPr>
    <w:rPr>
      <w:rFonts w:ascii="宋体" w:hAnsi="Times New Roman"/>
      <w:sz w:val="21"/>
    </w:rPr>
  </w:style>
  <w:style w:type="table" w:customStyle="1" w:styleId="TableNormal">
    <w:name w:val="Table Normal"/>
    <w:qFormat/>
    <w:tblPr>
      <w:tblCellMar>
        <w:top w:w="0" w:type="dxa"/>
        <w:left w:w="0" w:type="dxa"/>
        <w:bottom w:w="0" w:type="dxa"/>
        <w:right w:w="0" w:type="dxa"/>
      </w:tblCellMar>
    </w:tblPr>
  </w:style>
  <w:style w:type="paragraph" w:customStyle="1" w:styleId="aa">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1">
    <w:name w:val="列出段落1"/>
    <w:qFormat/>
    <w:pPr>
      <w:framePr w:wrap="around" w:hAnchor="text" w:y="1"/>
      <w:widowControl w:val="0"/>
      <w:ind w:firstLine="420"/>
      <w:jc w:val="both"/>
    </w:pPr>
    <w:rPr>
      <w:rFonts w:ascii="Arial Unicode MS" w:eastAsia="Times New Roman" w:hAnsi="Arial Unicode MS" w:cs="Arial Unicode MS" w:hint="eastAsia"/>
      <w:color w:val="000000"/>
      <w:kern w:val="2"/>
      <w:sz w:val="21"/>
      <w:szCs w:val="21"/>
      <w:u w:color="000000"/>
    </w:rPr>
  </w:style>
  <w:style w:type="character" w:customStyle="1" w:styleId="a6">
    <w:name w:val="页眉 字符"/>
    <w:basedOn w:val="a1"/>
    <w:link w:val="a5"/>
    <w:qFormat/>
    <w:rPr>
      <w:rFonts w:ascii="Arial Unicode MS" w:eastAsia="Times New Roman" w:hAnsi="Arial Unicode MS" w:cs="Arial Unicode MS"/>
      <w:color w:val="000000"/>
      <w:kern w:val="2"/>
      <w:sz w:val="18"/>
      <w:szCs w:val="18"/>
      <w:u w:color="000000"/>
    </w:rPr>
  </w:style>
  <w:style w:type="paragraph" w:customStyle="1" w:styleId="10">
    <w:name w:val="列表段落1"/>
    <w:basedOn w:val="a0"/>
    <w:uiPriority w:val="99"/>
    <w:qFormat/>
    <w:pPr>
      <w:framePr w:wrap="around"/>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rgbClr val="FFFFFF"/>
        </a:lnRef>
        <a:fillRef idx="0">
          <a:srgbClr val="FFFFFF"/>
        </a:fillRef>
        <a:effectRef idx="0">
          <a:srgbClr val="FFFFFF"/>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rgbClr val="FFFFFF"/>
        </a:lnRef>
        <a:fillRef idx="0">
          <a:srgbClr val="FFFFFF"/>
        </a:fillRef>
        <a:effectRef idx="0">
          <a:srgbClr val="FFFFFF"/>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569</Words>
  <Characters>3248</Characters>
  <Application>Microsoft Office Word</Application>
  <DocSecurity>0</DocSecurity>
  <Lines>27</Lines>
  <Paragraphs>7</Paragraphs>
  <ScaleCrop>false</ScaleCrop>
  <Company>Hewlett-Packard Company</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ym t</cp:lastModifiedBy>
  <cp:revision>58</cp:revision>
  <cp:lastPrinted>2019-06-17T19:57:00Z</cp:lastPrinted>
  <dcterms:created xsi:type="dcterms:W3CDTF">2019-03-19T18:01:00Z</dcterms:created>
  <dcterms:modified xsi:type="dcterms:W3CDTF">2026-10-19T02:53:00Z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C22852C752344F939A76FDA3CE519344_13</vt:lpwstr>
  </property>
  <property fmtid="{D5CDD505-2E9C-101B-9397-08002B2CF9AE}" pid="4" name="KSOTemplateDocerSaveRecord">
    <vt:lpwstr>eyJoZGlkIjoiMzEwNTM5NzYwMDRjMzkwZTVkZjY2ODkwMGIxNGU0OTUiLCJ1c2VySWQiOiIxODE1MTExNzE1In0=</vt:lpwstr>
  </property>
</Properties>
</file>